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E4" w:rsidRDefault="009738E4" w:rsidP="009738E4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При опубликовании ссылка </w:t>
      </w:r>
    </w:p>
    <w:p w:rsidR="009738E4" w:rsidRDefault="009738E4" w:rsidP="009738E4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>на Сах</w:t>
      </w:r>
      <w:proofErr w:type="gramStart"/>
      <w:r>
        <w:rPr>
          <w:i/>
          <w:iCs/>
          <w:sz w:val="22"/>
          <w:szCs w:val="22"/>
        </w:rPr>
        <w:t>а(</w:t>
      </w:r>
      <w:proofErr w:type="gramEnd"/>
      <w:r>
        <w:rPr>
          <w:i/>
          <w:iCs/>
          <w:sz w:val="22"/>
          <w:szCs w:val="22"/>
        </w:rPr>
        <w:t>Якутия)</w:t>
      </w:r>
      <w:proofErr w:type="spellStart"/>
      <w:r>
        <w:rPr>
          <w:i/>
          <w:iCs/>
          <w:sz w:val="22"/>
          <w:szCs w:val="22"/>
        </w:rPr>
        <w:t>стат</w:t>
      </w:r>
      <w:proofErr w:type="spellEnd"/>
      <w:r>
        <w:rPr>
          <w:i/>
          <w:iCs/>
          <w:sz w:val="22"/>
          <w:szCs w:val="22"/>
        </w:rPr>
        <w:t xml:space="preserve"> обязательна </w:t>
      </w:r>
    </w:p>
    <w:p w:rsidR="009738E4" w:rsidRDefault="009738E4" w:rsidP="009738E4">
      <w:pPr>
        <w:pStyle w:val="Default"/>
        <w:rPr>
          <w:b/>
          <w:bCs/>
          <w:sz w:val="20"/>
          <w:szCs w:val="20"/>
        </w:rPr>
      </w:pPr>
    </w:p>
    <w:p w:rsidR="009738E4" w:rsidRDefault="009738E4" w:rsidP="009738E4">
      <w:pPr>
        <w:pStyle w:val="Default"/>
        <w:rPr>
          <w:b/>
          <w:bCs/>
          <w:sz w:val="20"/>
          <w:szCs w:val="20"/>
        </w:rPr>
      </w:pPr>
    </w:p>
    <w:p w:rsidR="009738E4" w:rsidRDefault="009738E4" w:rsidP="009738E4">
      <w:pPr>
        <w:pStyle w:val="Default"/>
        <w:rPr>
          <w:b/>
          <w:bCs/>
          <w:sz w:val="20"/>
          <w:szCs w:val="20"/>
        </w:rPr>
      </w:pPr>
    </w:p>
    <w:p w:rsidR="009738E4" w:rsidRDefault="009738E4" w:rsidP="009738E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ТЕРРИТОРИАЛЬНЫЙ ОРГАН ФЕДЕРАЛЬНОЙ СЛУЖБЫ </w:t>
      </w:r>
    </w:p>
    <w:p w:rsidR="009738E4" w:rsidRDefault="009738E4" w:rsidP="009738E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ГОСУДАРСТВЕННОЙ СТАТИСТИКИ </w:t>
      </w:r>
      <w:proofErr w:type="gramStart"/>
      <w:r>
        <w:rPr>
          <w:b/>
          <w:bCs/>
          <w:sz w:val="20"/>
          <w:szCs w:val="20"/>
        </w:rPr>
        <w:t>ПО</w:t>
      </w:r>
      <w:proofErr w:type="gramEnd"/>
      <w:r>
        <w:rPr>
          <w:b/>
          <w:bCs/>
          <w:sz w:val="20"/>
          <w:szCs w:val="20"/>
        </w:rPr>
        <w:t xml:space="preserve"> </w:t>
      </w:r>
    </w:p>
    <w:p w:rsidR="009738E4" w:rsidRDefault="009738E4" w:rsidP="009738E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РЕСПУБЛИКЕ САХА (ЯКУТИЯ) </w:t>
      </w:r>
    </w:p>
    <w:p w:rsidR="009738E4" w:rsidRDefault="009738E4" w:rsidP="009738E4">
      <w:pPr>
        <w:pStyle w:val="Default"/>
        <w:spacing w:before="60"/>
        <w:rPr>
          <w:sz w:val="20"/>
          <w:szCs w:val="20"/>
        </w:rPr>
      </w:pPr>
      <w:r>
        <w:rPr>
          <w:b/>
          <w:bCs/>
          <w:sz w:val="20"/>
          <w:szCs w:val="20"/>
        </w:rPr>
        <w:t>- САХ</w:t>
      </w:r>
      <w:proofErr w:type="gramStart"/>
      <w:r>
        <w:rPr>
          <w:b/>
          <w:bCs/>
          <w:sz w:val="20"/>
          <w:szCs w:val="20"/>
        </w:rPr>
        <w:t>А(</w:t>
      </w:r>
      <w:proofErr w:type="gramEnd"/>
      <w:r>
        <w:rPr>
          <w:b/>
          <w:bCs/>
          <w:sz w:val="20"/>
          <w:szCs w:val="20"/>
        </w:rPr>
        <w:t xml:space="preserve">ЯКУТИЯ)СТАТ </w:t>
      </w:r>
    </w:p>
    <w:p w:rsidR="009738E4" w:rsidRDefault="009738E4" w:rsidP="009738E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738E4" w:rsidRDefault="009738E4" w:rsidP="009738E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738E4" w:rsidRPr="00C6210E" w:rsidRDefault="009738E4" w:rsidP="009738E4">
      <w:pPr>
        <w:pStyle w:val="Default"/>
        <w:rPr>
          <w:rFonts w:ascii="Times New Roman" w:hAnsi="Times New Roman" w:cs="Times New Roman"/>
        </w:rPr>
      </w:pPr>
      <w:r w:rsidRPr="00C6210E">
        <w:rPr>
          <w:rFonts w:ascii="Times New Roman" w:hAnsi="Times New Roman" w:cs="Times New Roman"/>
        </w:rPr>
        <w:t xml:space="preserve">ПРЕСС-ВЫПУСК </w:t>
      </w:r>
    </w:p>
    <w:p w:rsidR="009738E4" w:rsidRPr="00C6210E" w:rsidRDefault="005B56C5" w:rsidP="009738E4">
      <w:pPr>
        <w:rPr>
          <w:b/>
          <w:shd w:val="clear" w:color="auto" w:fill="FFFFFF"/>
        </w:rPr>
      </w:pPr>
      <w:r>
        <w:t>№06-32/</w:t>
      </w:r>
      <w:proofErr w:type="gramStart"/>
      <w:r>
        <w:rPr>
          <w:lang w:val="ru-RU"/>
        </w:rPr>
        <w:t xml:space="preserve">2 </w:t>
      </w:r>
      <w:r w:rsidR="009738E4">
        <w:t xml:space="preserve"> </w:t>
      </w:r>
      <w:proofErr w:type="spellStart"/>
      <w:r w:rsidR="009738E4">
        <w:t>от</w:t>
      </w:r>
      <w:proofErr w:type="spellEnd"/>
      <w:proofErr w:type="gramEnd"/>
      <w:r w:rsidR="009738E4">
        <w:t xml:space="preserve"> </w:t>
      </w:r>
      <w:r w:rsidR="009738E4">
        <w:rPr>
          <w:lang w:val="ru-RU"/>
        </w:rPr>
        <w:t>24</w:t>
      </w:r>
      <w:r w:rsidR="009738E4" w:rsidRPr="00B2313D">
        <w:t>.</w:t>
      </w:r>
      <w:r w:rsidR="009738E4">
        <w:rPr>
          <w:lang w:val="ru-RU"/>
        </w:rPr>
        <w:t>04</w:t>
      </w:r>
      <w:r w:rsidR="009738E4" w:rsidRPr="00B2313D">
        <w:t>.20</w:t>
      </w:r>
      <w:r w:rsidR="009738E4">
        <w:rPr>
          <w:lang w:val="ru-RU"/>
        </w:rPr>
        <w:t>20</w:t>
      </w:r>
      <w:r w:rsidR="009738E4" w:rsidRPr="00B2313D">
        <w:t>г.</w:t>
      </w:r>
    </w:p>
    <w:p w:rsidR="009738E4" w:rsidRDefault="009738E4" w:rsidP="000E271D">
      <w:pPr>
        <w:pStyle w:val="2"/>
        <w:spacing w:line="288" w:lineRule="auto"/>
        <w:contextualSpacing/>
        <w:rPr>
          <w:rFonts w:ascii="Times New Roman" w:hAnsi="Times New Roman"/>
          <w:sz w:val="28"/>
          <w:szCs w:val="24"/>
        </w:rPr>
      </w:pPr>
    </w:p>
    <w:p w:rsidR="000E271D" w:rsidRDefault="000E271D" w:rsidP="000E271D">
      <w:pPr>
        <w:pStyle w:val="2"/>
        <w:spacing w:line="288" w:lineRule="auto"/>
        <w:contextualSpacing/>
        <w:rPr>
          <w:rFonts w:ascii="Times New Roman" w:hAnsi="Times New Roman"/>
          <w:sz w:val="28"/>
          <w:szCs w:val="24"/>
        </w:rPr>
      </w:pPr>
      <w:r w:rsidRPr="00874CF6">
        <w:rPr>
          <w:rFonts w:ascii="Times New Roman" w:hAnsi="Times New Roman"/>
          <w:sz w:val="28"/>
          <w:szCs w:val="24"/>
        </w:rPr>
        <w:t>Жилищное строительство в Республик</w:t>
      </w:r>
      <w:r w:rsidR="00D90D14" w:rsidRPr="00D90D14">
        <w:rPr>
          <w:rFonts w:ascii="Times New Roman" w:hAnsi="Times New Roman"/>
          <w:sz w:val="28"/>
          <w:szCs w:val="24"/>
        </w:rPr>
        <w:t>е</w:t>
      </w:r>
      <w:r w:rsidRPr="00874CF6">
        <w:rPr>
          <w:rFonts w:ascii="Times New Roman" w:hAnsi="Times New Roman"/>
          <w:sz w:val="28"/>
          <w:szCs w:val="24"/>
        </w:rPr>
        <w:t xml:space="preserve"> Саха</w:t>
      </w:r>
      <w:r w:rsidR="00D90D14" w:rsidRPr="00D90D14">
        <w:rPr>
          <w:rFonts w:ascii="Times New Roman" w:hAnsi="Times New Roman"/>
          <w:sz w:val="28"/>
          <w:szCs w:val="24"/>
        </w:rPr>
        <w:t xml:space="preserve"> </w:t>
      </w:r>
      <w:r w:rsidRPr="00874CF6">
        <w:rPr>
          <w:rFonts w:ascii="Times New Roman" w:hAnsi="Times New Roman"/>
          <w:sz w:val="28"/>
          <w:szCs w:val="24"/>
        </w:rPr>
        <w:t>(Якутия)</w:t>
      </w:r>
    </w:p>
    <w:p w:rsidR="009738E4" w:rsidRPr="00EF7507" w:rsidRDefault="009738E4" w:rsidP="000E271D">
      <w:pPr>
        <w:pStyle w:val="2"/>
        <w:spacing w:line="288" w:lineRule="auto"/>
        <w:contextualSpacing/>
        <w:rPr>
          <w:rFonts w:ascii="Times New Roman" w:hAnsi="Times New Roman"/>
          <w:sz w:val="20"/>
          <w:szCs w:val="24"/>
        </w:rPr>
      </w:pPr>
    </w:p>
    <w:p w:rsidR="00D90D14" w:rsidRPr="00EF7507" w:rsidRDefault="007D0EE4" w:rsidP="00EF7507">
      <w:pPr>
        <w:pStyle w:val="a7"/>
        <w:rPr>
          <w:noProof/>
          <w:sz w:val="26"/>
          <w:szCs w:val="26"/>
        </w:rPr>
      </w:pPr>
      <w:r w:rsidRPr="00EF7507">
        <w:rPr>
          <w:noProof/>
          <w:sz w:val="26"/>
          <w:szCs w:val="26"/>
        </w:rPr>
        <w:t>В</w:t>
      </w:r>
      <w:r w:rsidR="00D90D14" w:rsidRPr="00EF7507">
        <w:rPr>
          <w:noProof/>
          <w:sz w:val="26"/>
          <w:szCs w:val="26"/>
        </w:rPr>
        <w:t xml:space="preserve"> 2019 году </w:t>
      </w:r>
      <w:r w:rsidR="00874CF6" w:rsidRPr="00EF7507">
        <w:rPr>
          <w:noProof/>
          <w:sz w:val="26"/>
          <w:szCs w:val="26"/>
        </w:rPr>
        <w:t xml:space="preserve">в республике </w:t>
      </w:r>
      <w:r w:rsidRPr="00EF7507">
        <w:rPr>
          <w:noProof/>
          <w:sz w:val="26"/>
          <w:szCs w:val="26"/>
        </w:rPr>
        <w:t xml:space="preserve">введено </w:t>
      </w:r>
      <w:r w:rsidR="00D90D14" w:rsidRPr="00EF7507">
        <w:rPr>
          <w:noProof/>
          <w:sz w:val="26"/>
          <w:szCs w:val="26"/>
        </w:rPr>
        <w:t>2969</w:t>
      </w:r>
      <w:r w:rsidRPr="00EF7507">
        <w:rPr>
          <w:noProof/>
          <w:sz w:val="26"/>
          <w:szCs w:val="26"/>
        </w:rPr>
        <w:t xml:space="preserve"> жилых  домов общей площадью </w:t>
      </w:r>
      <w:r w:rsidR="001D1D59" w:rsidRPr="00EF7507">
        <w:rPr>
          <w:noProof/>
          <w:sz w:val="26"/>
          <w:szCs w:val="26"/>
        </w:rPr>
        <w:t>561,</w:t>
      </w:r>
      <w:r w:rsidR="00D90D14" w:rsidRPr="00EF7507">
        <w:rPr>
          <w:noProof/>
          <w:sz w:val="26"/>
          <w:szCs w:val="26"/>
        </w:rPr>
        <w:t>9</w:t>
      </w:r>
      <w:r w:rsidRPr="00EF7507">
        <w:rPr>
          <w:noProof/>
          <w:sz w:val="26"/>
          <w:szCs w:val="26"/>
        </w:rPr>
        <w:t xml:space="preserve"> тыс. кв. метров </w:t>
      </w:r>
      <w:r w:rsidR="001D1D59" w:rsidRPr="00EF7507">
        <w:rPr>
          <w:noProof/>
          <w:sz w:val="26"/>
          <w:szCs w:val="26"/>
        </w:rPr>
        <w:t xml:space="preserve"> (559,</w:t>
      </w:r>
      <w:r w:rsidR="00D90D14" w:rsidRPr="00EF7507">
        <w:rPr>
          <w:noProof/>
          <w:sz w:val="26"/>
          <w:szCs w:val="26"/>
        </w:rPr>
        <w:t>5 тыс. кв. метров – без учета жилых домов, построенных на земельных участках для ведения садоводства). По сранению с 2018 годом ввод жилья у</w:t>
      </w:r>
      <w:r w:rsidR="001D1D59" w:rsidRPr="00EF7507">
        <w:rPr>
          <w:noProof/>
          <w:sz w:val="26"/>
          <w:szCs w:val="26"/>
        </w:rPr>
        <w:t>величисля на5,</w:t>
      </w:r>
      <w:r w:rsidR="00D90D14" w:rsidRPr="00EF7507">
        <w:rPr>
          <w:noProof/>
          <w:sz w:val="26"/>
          <w:szCs w:val="26"/>
        </w:rPr>
        <w:t>5%.</w:t>
      </w:r>
      <w:r w:rsidR="00EF7507">
        <w:rPr>
          <w:rStyle w:val="ae"/>
          <w:noProof/>
          <w:sz w:val="26"/>
          <w:szCs w:val="26"/>
        </w:rPr>
        <w:footnoteReference w:id="2"/>
      </w:r>
    </w:p>
    <w:p w:rsidR="00D90D14" w:rsidRPr="00EF7507" w:rsidRDefault="00D90D14" w:rsidP="00EF7507">
      <w:pPr>
        <w:pStyle w:val="a7"/>
        <w:rPr>
          <w:noProof/>
          <w:sz w:val="26"/>
          <w:szCs w:val="26"/>
        </w:rPr>
      </w:pPr>
      <w:r w:rsidRPr="00EF7507">
        <w:rPr>
          <w:noProof/>
          <w:sz w:val="26"/>
          <w:szCs w:val="26"/>
        </w:rPr>
        <w:t xml:space="preserve">Населением за счет собственных и заемнвх средств посроено  2876 </w:t>
      </w:r>
      <w:r w:rsidR="001D1D59" w:rsidRPr="00EF7507">
        <w:rPr>
          <w:noProof/>
          <w:sz w:val="26"/>
          <w:szCs w:val="26"/>
        </w:rPr>
        <w:t>домов общей площадью 247,</w:t>
      </w:r>
      <w:r w:rsidRPr="00EF7507">
        <w:rPr>
          <w:noProof/>
          <w:sz w:val="26"/>
          <w:szCs w:val="26"/>
        </w:rPr>
        <w:t>5 т</w:t>
      </w:r>
      <w:r w:rsidR="001D1D59" w:rsidRPr="00EF7507">
        <w:rPr>
          <w:noProof/>
          <w:sz w:val="26"/>
          <w:szCs w:val="26"/>
        </w:rPr>
        <w:t>ыс. кв. метров (245,</w:t>
      </w:r>
      <w:r w:rsidRPr="00EF7507">
        <w:rPr>
          <w:noProof/>
          <w:sz w:val="26"/>
          <w:szCs w:val="26"/>
        </w:rPr>
        <w:t>1 тыс. кв.метров - без учета жилых домов, построенных на земельных участках для ведения садоводства</w:t>
      </w:r>
      <w:r w:rsidR="00A23276" w:rsidRPr="00EF7507">
        <w:rPr>
          <w:noProof/>
          <w:sz w:val="26"/>
          <w:szCs w:val="26"/>
        </w:rPr>
        <w:t xml:space="preserve">), что на </w:t>
      </w:r>
      <w:r w:rsidR="001D1D59" w:rsidRPr="00EF7507">
        <w:rPr>
          <w:noProof/>
          <w:sz w:val="26"/>
          <w:szCs w:val="26"/>
        </w:rPr>
        <w:t>19,</w:t>
      </w:r>
      <w:r w:rsidR="002E2DD7" w:rsidRPr="00EF7507">
        <w:rPr>
          <w:noProof/>
          <w:sz w:val="26"/>
          <w:szCs w:val="26"/>
        </w:rPr>
        <w:t>1</w:t>
      </w:r>
      <w:r w:rsidR="00A23276" w:rsidRPr="00EF7507">
        <w:rPr>
          <w:noProof/>
          <w:sz w:val="26"/>
          <w:szCs w:val="26"/>
        </w:rPr>
        <w:t>% больше чем в 2018 году.</w:t>
      </w:r>
    </w:p>
    <w:p w:rsidR="000E271D" w:rsidRPr="00EF7507" w:rsidRDefault="000E271D" w:rsidP="00EF7507">
      <w:pPr>
        <w:pStyle w:val="a3"/>
        <w:spacing w:before="120" w:line="288" w:lineRule="auto"/>
        <w:ind w:firstLine="709"/>
        <w:contextualSpacing/>
        <w:rPr>
          <w:sz w:val="26"/>
          <w:szCs w:val="26"/>
          <w:lang w:val="ru-RU"/>
        </w:rPr>
      </w:pPr>
      <w:r w:rsidRPr="00EF7507">
        <w:rPr>
          <w:sz w:val="26"/>
          <w:szCs w:val="26"/>
          <w:lang w:val="ru-RU"/>
        </w:rPr>
        <w:t xml:space="preserve">Из общего </w:t>
      </w:r>
      <w:r w:rsidR="00DD5901" w:rsidRPr="00EF7507">
        <w:rPr>
          <w:sz w:val="26"/>
          <w:szCs w:val="26"/>
          <w:lang w:val="ru-RU"/>
        </w:rPr>
        <w:t>объема,</w:t>
      </w:r>
      <w:r w:rsidRPr="00EF7507">
        <w:rPr>
          <w:sz w:val="26"/>
          <w:szCs w:val="26"/>
          <w:lang w:val="ru-RU"/>
        </w:rPr>
        <w:t xml:space="preserve"> введенного в действие жилья</w:t>
      </w:r>
      <w:r w:rsidR="00DD5901" w:rsidRPr="00EF7507">
        <w:rPr>
          <w:sz w:val="26"/>
          <w:szCs w:val="26"/>
          <w:lang w:val="ru-RU"/>
        </w:rPr>
        <w:t>,</w:t>
      </w:r>
      <w:r w:rsidRPr="00EF7507">
        <w:rPr>
          <w:sz w:val="26"/>
          <w:szCs w:val="26"/>
          <w:lang w:val="ru-RU"/>
        </w:rPr>
        <w:t xml:space="preserve"> </w:t>
      </w:r>
      <w:r w:rsidRPr="00EF7507">
        <w:rPr>
          <w:b/>
          <w:sz w:val="26"/>
          <w:szCs w:val="26"/>
          <w:lang w:val="ru-RU"/>
        </w:rPr>
        <w:t>на долю сельской местности</w:t>
      </w:r>
      <w:r w:rsidRPr="00EF7507">
        <w:rPr>
          <w:sz w:val="26"/>
          <w:szCs w:val="26"/>
          <w:lang w:val="ru-RU"/>
        </w:rPr>
        <w:t xml:space="preserve"> приходилось </w:t>
      </w:r>
      <w:r w:rsidR="001D1D59" w:rsidRPr="00EF7507">
        <w:rPr>
          <w:sz w:val="26"/>
          <w:szCs w:val="26"/>
          <w:lang w:val="ru-RU"/>
        </w:rPr>
        <w:t>27,</w:t>
      </w:r>
      <w:r w:rsidR="002E2DD7" w:rsidRPr="00EF7507">
        <w:rPr>
          <w:sz w:val="26"/>
          <w:szCs w:val="26"/>
          <w:lang w:val="ru-RU"/>
        </w:rPr>
        <w:t>7</w:t>
      </w:r>
      <w:r w:rsidRPr="00EF7507">
        <w:rPr>
          <w:sz w:val="26"/>
          <w:szCs w:val="26"/>
          <w:lang w:val="ru-RU"/>
        </w:rPr>
        <w:t xml:space="preserve">%, или </w:t>
      </w:r>
      <w:r w:rsidR="001D1D59" w:rsidRPr="00EF7507">
        <w:rPr>
          <w:sz w:val="26"/>
          <w:szCs w:val="26"/>
          <w:lang w:val="ru-RU"/>
        </w:rPr>
        <w:t>155,</w:t>
      </w:r>
      <w:r w:rsidR="002E2DD7" w:rsidRPr="00EF7507">
        <w:rPr>
          <w:sz w:val="26"/>
          <w:szCs w:val="26"/>
          <w:lang w:val="ru-RU"/>
        </w:rPr>
        <w:t>8</w:t>
      </w:r>
      <w:r w:rsidRPr="00EF7507">
        <w:rPr>
          <w:sz w:val="26"/>
          <w:szCs w:val="26"/>
          <w:lang w:val="ru-RU"/>
        </w:rPr>
        <w:t xml:space="preserve"> тыс. кв. метров, из него построенного населением – </w:t>
      </w:r>
      <w:r w:rsidR="001D1D59" w:rsidRPr="00EF7507">
        <w:rPr>
          <w:sz w:val="26"/>
          <w:szCs w:val="26"/>
          <w:lang w:val="ru-RU"/>
        </w:rPr>
        <w:t>143,</w:t>
      </w:r>
      <w:r w:rsidR="002E2DD7" w:rsidRPr="00EF7507">
        <w:rPr>
          <w:sz w:val="26"/>
          <w:szCs w:val="26"/>
          <w:lang w:val="ru-RU"/>
        </w:rPr>
        <w:t>6</w:t>
      </w:r>
      <w:r w:rsidRPr="00EF7507">
        <w:rPr>
          <w:sz w:val="26"/>
          <w:szCs w:val="26"/>
          <w:lang w:val="ru-RU"/>
        </w:rPr>
        <w:t xml:space="preserve"> тыс. кв. метров. Ввод жилья </w:t>
      </w:r>
      <w:r w:rsidRPr="00EF7507">
        <w:rPr>
          <w:b/>
          <w:sz w:val="26"/>
          <w:szCs w:val="26"/>
          <w:lang w:val="ru-RU"/>
        </w:rPr>
        <w:t>в городской  местности</w:t>
      </w:r>
      <w:r w:rsidRPr="00EF7507">
        <w:rPr>
          <w:sz w:val="26"/>
          <w:szCs w:val="26"/>
          <w:lang w:val="ru-RU"/>
        </w:rPr>
        <w:t xml:space="preserve">  значительно  превышал  объемы  жилищного строительства в сельской местности</w:t>
      </w:r>
      <w:r w:rsidR="00DD5901" w:rsidRPr="00EF7507">
        <w:rPr>
          <w:sz w:val="26"/>
          <w:szCs w:val="26"/>
          <w:lang w:val="ru-RU"/>
        </w:rPr>
        <w:t xml:space="preserve"> и составлял </w:t>
      </w:r>
      <w:r w:rsidR="001D1D59" w:rsidRPr="00EF7507">
        <w:rPr>
          <w:sz w:val="26"/>
          <w:szCs w:val="26"/>
          <w:lang w:val="ru-RU"/>
        </w:rPr>
        <w:t>72,</w:t>
      </w:r>
      <w:r w:rsidR="002E2DD7" w:rsidRPr="00EF7507">
        <w:rPr>
          <w:sz w:val="26"/>
          <w:szCs w:val="26"/>
          <w:lang w:val="ru-RU"/>
        </w:rPr>
        <w:t>3</w:t>
      </w:r>
      <w:r w:rsidR="00DD5901" w:rsidRPr="00EF7507">
        <w:rPr>
          <w:sz w:val="26"/>
          <w:szCs w:val="26"/>
          <w:lang w:val="ru-RU"/>
        </w:rPr>
        <w:t xml:space="preserve">%  или </w:t>
      </w:r>
      <w:r w:rsidR="001D1D59" w:rsidRPr="00EF7507">
        <w:rPr>
          <w:sz w:val="26"/>
          <w:szCs w:val="26"/>
          <w:lang w:val="ru-RU"/>
        </w:rPr>
        <w:t>406,</w:t>
      </w:r>
      <w:r w:rsidR="002E2DD7" w:rsidRPr="00EF7507">
        <w:rPr>
          <w:sz w:val="26"/>
          <w:szCs w:val="26"/>
          <w:lang w:val="ru-RU"/>
        </w:rPr>
        <w:t>1</w:t>
      </w:r>
      <w:r w:rsidR="00DD5901" w:rsidRPr="00EF7507">
        <w:rPr>
          <w:sz w:val="26"/>
          <w:szCs w:val="26"/>
          <w:lang w:val="ru-RU"/>
        </w:rPr>
        <w:t xml:space="preserve"> </w:t>
      </w:r>
      <w:r w:rsidRPr="00EF7507">
        <w:rPr>
          <w:sz w:val="26"/>
          <w:szCs w:val="26"/>
          <w:lang w:val="ru-RU"/>
        </w:rPr>
        <w:t xml:space="preserve"> тыс. кв. метров</w:t>
      </w:r>
      <w:r w:rsidR="00DD5901" w:rsidRPr="00EF7507">
        <w:rPr>
          <w:sz w:val="26"/>
          <w:szCs w:val="26"/>
          <w:lang w:val="ru-RU"/>
        </w:rPr>
        <w:t xml:space="preserve">, из него построенного населением – </w:t>
      </w:r>
      <w:r w:rsidR="001D1D59" w:rsidRPr="00EF7507">
        <w:rPr>
          <w:sz w:val="26"/>
          <w:szCs w:val="26"/>
          <w:lang w:val="ru-RU"/>
        </w:rPr>
        <w:t>103,</w:t>
      </w:r>
      <w:r w:rsidR="002E2DD7" w:rsidRPr="00EF7507">
        <w:rPr>
          <w:sz w:val="26"/>
          <w:szCs w:val="26"/>
          <w:lang w:val="ru-RU"/>
        </w:rPr>
        <w:t xml:space="preserve">9 </w:t>
      </w:r>
      <w:r w:rsidR="00DD5901" w:rsidRPr="00EF7507">
        <w:rPr>
          <w:sz w:val="26"/>
          <w:szCs w:val="26"/>
          <w:lang w:val="ru-RU"/>
        </w:rPr>
        <w:t xml:space="preserve"> тыс. кв. метров.</w:t>
      </w:r>
    </w:p>
    <w:p w:rsidR="009738E4" w:rsidRPr="00EF7507" w:rsidRDefault="007D0EE4" w:rsidP="00EF7507">
      <w:pPr>
        <w:numPr>
          <w:ilvl w:val="12"/>
          <w:numId w:val="0"/>
        </w:numPr>
        <w:tabs>
          <w:tab w:val="left" w:pos="420"/>
        </w:tabs>
        <w:spacing w:before="120" w:line="288" w:lineRule="auto"/>
        <w:ind w:firstLine="709"/>
        <w:contextualSpacing/>
        <w:jc w:val="both"/>
        <w:rPr>
          <w:sz w:val="26"/>
          <w:szCs w:val="26"/>
          <w:lang w:val="ru-RU"/>
        </w:rPr>
      </w:pPr>
      <w:r w:rsidRPr="00EF7507">
        <w:rPr>
          <w:sz w:val="26"/>
          <w:szCs w:val="26"/>
          <w:lang w:val="ru-RU"/>
        </w:rPr>
        <w:t>В разрезе районов наибольшие объемы жилищного строительства отмечены</w:t>
      </w:r>
      <w:r w:rsidR="00974E3F" w:rsidRPr="00EF7507">
        <w:rPr>
          <w:sz w:val="26"/>
          <w:szCs w:val="26"/>
          <w:lang w:val="ru-RU"/>
        </w:rPr>
        <w:t xml:space="preserve"> в </w:t>
      </w:r>
      <w:r w:rsidR="00974E3F" w:rsidRPr="00EF7507">
        <w:rPr>
          <w:sz w:val="26"/>
          <w:szCs w:val="26"/>
          <w:lang w:val="ru-RU"/>
        </w:rPr>
        <w:br/>
        <w:t>ГО «Город Якутск»</w:t>
      </w:r>
      <w:r w:rsidRPr="00EF7507">
        <w:rPr>
          <w:sz w:val="26"/>
          <w:szCs w:val="26"/>
          <w:lang w:val="ru-RU"/>
        </w:rPr>
        <w:t xml:space="preserve"> где было введено </w:t>
      </w:r>
      <w:r w:rsidR="001D1D59" w:rsidRPr="00EF7507">
        <w:rPr>
          <w:sz w:val="26"/>
          <w:szCs w:val="26"/>
          <w:lang w:val="ru-RU"/>
        </w:rPr>
        <w:t>350,</w:t>
      </w:r>
      <w:r w:rsidR="002E2DD7" w:rsidRPr="00EF7507">
        <w:rPr>
          <w:sz w:val="26"/>
          <w:szCs w:val="26"/>
          <w:lang w:val="ru-RU"/>
        </w:rPr>
        <w:t>1</w:t>
      </w:r>
      <w:r w:rsidRPr="00EF7507">
        <w:rPr>
          <w:sz w:val="26"/>
          <w:szCs w:val="26"/>
          <w:lang w:val="ru-RU"/>
        </w:rPr>
        <w:t xml:space="preserve"> тыс. кв. метров или </w:t>
      </w:r>
      <w:r w:rsidR="001D1D59" w:rsidRPr="00EF7507">
        <w:rPr>
          <w:sz w:val="26"/>
          <w:szCs w:val="26"/>
          <w:lang w:val="ru-RU"/>
        </w:rPr>
        <w:t>62,</w:t>
      </w:r>
      <w:r w:rsidR="002E2DD7" w:rsidRPr="00EF7507">
        <w:rPr>
          <w:sz w:val="26"/>
          <w:szCs w:val="26"/>
          <w:lang w:val="ru-RU"/>
        </w:rPr>
        <w:t>3</w:t>
      </w:r>
      <w:r w:rsidRPr="00EF7507">
        <w:rPr>
          <w:sz w:val="26"/>
          <w:szCs w:val="26"/>
          <w:lang w:val="ru-RU"/>
        </w:rPr>
        <w:t>% общей площади введенног</w:t>
      </w:r>
      <w:r w:rsidR="009C1B30" w:rsidRPr="00EF7507">
        <w:rPr>
          <w:sz w:val="26"/>
          <w:szCs w:val="26"/>
          <w:lang w:val="ru-RU"/>
        </w:rPr>
        <w:t>о жилья в республике</w:t>
      </w:r>
      <w:r w:rsidR="009738E4" w:rsidRPr="00EF7507">
        <w:rPr>
          <w:sz w:val="26"/>
          <w:szCs w:val="26"/>
          <w:lang w:val="ru-RU"/>
        </w:rPr>
        <w:t>.</w:t>
      </w:r>
    </w:p>
    <w:p w:rsidR="00EF7507" w:rsidRPr="00EF7507" w:rsidRDefault="00EF7507" w:rsidP="00EF7507">
      <w:pPr>
        <w:spacing w:after="200"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9738E4" w:rsidRPr="00DD5901" w:rsidRDefault="00317155" w:rsidP="00EF7507">
      <w:pPr>
        <w:numPr>
          <w:ilvl w:val="12"/>
          <w:numId w:val="0"/>
        </w:numPr>
        <w:tabs>
          <w:tab w:val="left" w:pos="420"/>
        </w:tabs>
        <w:spacing w:before="240" w:line="312" w:lineRule="auto"/>
        <w:ind w:firstLine="851"/>
        <w:contextualSpacing/>
        <w:jc w:val="center"/>
        <w:rPr>
          <w:b/>
          <w:sz w:val="28"/>
          <w:szCs w:val="26"/>
          <w:lang w:val="ru-RU"/>
        </w:rPr>
      </w:pPr>
      <w:r w:rsidRPr="00DD5901">
        <w:rPr>
          <w:b/>
          <w:sz w:val="28"/>
          <w:szCs w:val="26"/>
          <w:lang w:val="ru-RU"/>
        </w:rPr>
        <w:lastRenderedPageBreak/>
        <w:t>Ввод в действие жилых домов</w:t>
      </w:r>
    </w:p>
    <w:p w:rsidR="00317155" w:rsidRDefault="00317155" w:rsidP="00317155">
      <w:pPr>
        <w:numPr>
          <w:ilvl w:val="12"/>
          <w:numId w:val="0"/>
        </w:numPr>
        <w:tabs>
          <w:tab w:val="left" w:pos="420"/>
        </w:tabs>
        <w:spacing w:line="312" w:lineRule="auto"/>
        <w:ind w:firstLine="851"/>
        <w:jc w:val="center"/>
        <w:rPr>
          <w:lang w:val="ru-RU"/>
        </w:rPr>
      </w:pPr>
      <w:r w:rsidRPr="00317155">
        <w:rPr>
          <w:lang w:val="ru-RU"/>
        </w:rPr>
        <w:t>(квадратных метров общей площади)</w:t>
      </w:r>
    </w:p>
    <w:p w:rsidR="009738E4" w:rsidRDefault="009738E4" w:rsidP="00317155">
      <w:pPr>
        <w:numPr>
          <w:ilvl w:val="12"/>
          <w:numId w:val="0"/>
        </w:numPr>
        <w:tabs>
          <w:tab w:val="left" w:pos="420"/>
        </w:tabs>
        <w:spacing w:line="312" w:lineRule="auto"/>
        <w:ind w:firstLine="851"/>
        <w:jc w:val="center"/>
        <w:rPr>
          <w:lang w:val="ru-RU"/>
        </w:rPr>
      </w:pPr>
    </w:p>
    <w:p w:rsidR="009738E4" w:rsidRPr="001D1D59" w:rsidRDefault="009738E4" w:rsidP="009738E4">
      <w:pPr>
        <w:numPr>
          <w:ilvl w:val="12"/>
          <w:numId w:val="0"/>
        </w:numPr>
        <w:tabs>
          <w:tab w:val="left" w:pos="420"/>
        </w:tabs>
        <w:spacing w:line="312" w:lineRule="auto"/>
        <w:jc w:val="center"/>
        <w:rPr>
          <w:lang w:val="ru-RU"/>
        </w:rPr>
      </w:pPr>
      <w:r w:rsidRPr="009738E4">
        <w:rPr>
          <w:lang w:val="ru-RU"/>
        </w:rPr>
        <w:drawing>
          <wp:inline distT="0" distB="0" distL="0" distR="0">
            <wp:extent cx="6200775" cy="322897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7155" w:rsidRPr="00DD5901" w:rsidRDefault="00317155" w:rsidP="00317155">
      <w:pPr>
        <w:numPr>
          <w:ilvl w:val="12"/>
          <w:numId w:val="0"/>
        </w:numPr>
        <w:tabs>
          <w:tab w:val="left" w:pos="420"/>
        </w:tabs>
        <w:spacing w:line="312" w:lineRule="auto"/>
        <w:contextualSpacing/>
        <w:jc w:val="both"/>
        <w:rPr>
          <w:sz w:val="16"/>
          <w:szCs w:val="16"/>
          <w:lang w:val="ru-RU"/>
        </w:rPr>
      </w:pPr>
    </w:p>
    <w:p w:rsidR="009738E4" w:rsidRPr="00DD5901" w:rsidRDefault="009738E4" w:rsidP="00EF7507">
      <w:pPr>
        <w:pStyle w:val="a3"/>
        <w:spacing w:line="288" w:lineRule="auto"/>
        <w:ind w:firstLine="709"/>
        <w:contextualSpacing/>
        <w:rPr>
          <w:sz w:val="26"/>
          <w:szCs w:val="26"/>
          <w:lang w:val="ru-RU"/>
        </w:rPr>
      </w:pPr>
      <w:proofErr w:type="gramStart"/>
      <w:r w:rsidRPr="00DD5901">
        <w:rPr>
          <w:b/>
          <w:sz w:val="26"/>
          <w:szCs w:val="26"/>
          <w:lang w:val="ru-RU"/>
        </w:rPr>
        <w:t>В расчете на 1000 человек населения</w:t>
      </w:r>
      <w:r w:rsidRPr="00DD5901">
        <w:rPr>
          <w:sz w:val="26"/>
          <w:szCs w:val="26"/>
          <w:lang w:val="ru-RU"/>
        </w:rPr>
        <w:t xml:space="preserve"> наибольшие объемы жилья (более </w:t>
      </w:r>
      <w:r w:rsidR="00E03EAE">
        <w:rPr>
          <w:sz w:val="26"/>
          <w:szCs w:val="26"/>
          <w:lang w:val="ru-RU"/>
        </w:rPr>
        <w:t>5</w:t>
      </w:r>
      <w:r w:rsidRPr="00DD5901">
        <w:rPr>
          <w:sz w:val="26"/>
          <w:szCs w:val="26"/>
          <w:lang w:val="ru-RU"/>
        </w:rPr>
        <w:t>00 кв. метров) введены в ГО «Город Якутск» (</w:t>
      </w:r>
      <w:r w:rsidR="00E03EAE">
        <w:rPr>
          <w:sz w:val="26"/>
          <w:szCs w:val="26"/>
          <w:lang w:val="ru-RU"/>
        </w:rPr>
        <w:t>1037,0</w:t>
      </w:r>
      <w:r w:rsidRPr="00DD5901">
        <w:rPr>
          <w:sz w:val="26"/>
          <w:szCs w:val="26"/>
          <w:lang w:val="ru-RU"/>
        </w:rPr>
        <w:t xml:space="preserve"> кв.м.)</w:t>
      </w:r>
      <w:r w:rsidR="00E03EAE">
        <w:rPr>
          <w:sz w:val="26"/>
          <w:szCs w:val="26"/>
          <w:lang w:val="ru-RU"/>
        </w:rPr>
        <w:t xml:space="preserve">, </w:t>
      </w:r>
      <w:proofErr w:type="spellStart"/>
      <w:r w:rsidR="00E03EAE">
        <w:rPr>
          <w:sz w:val="26"/>
          <w:szCs w:val="26"/>
          <w:lang w:val="ru-RU"/>
        </w:rPr>
        <w:t>Чурапчинском</w:t>
      </w:r>
      <w:proofErr w:type="spellEnd"/>
      <w:r w:rsidR="00E03EAE">
        <w:rPr>
          <w:sz w:val="26"/>
          <w:szCs w:val="26"/>
          <w:lang w:val="ru-RU"/>
        </w:rPr>
        <w:t xml:space="preserve"> (834,7 кв. м.), Верхневилюйском (617,2 кв.м.), </w:t>
      </w:r>
      <w:proofErr w:type="spellStart"/>
      <w:r w:rsidR="00E03EAE">
        <w:rPr>
          <w:sz w:val="26"/>
          <w:szCs w:val="26"/>
          <w:lang w:val="ru-RU"/>
        </w:rPr>
        <w:t>Амгинском</w:t>
      </w:r>
      <w:proofErr w:type="spellEnd"/>
      <w:r w:rsidR="00E03EAE">
        <w:rPr>
          <w:sz w:val="26"/>
          <w:szCs w:val="26"/>
          <w:lang w:val="ru-RU"/>
        </w:rPr>
        <w:t xml:space="preserve"> (570,2 кв.м.), </w:t>
      </w:r>
      <w:proofErr w:type="spellStart"/>
      <w:r w:rsidR="00E03EAE">
        <w:rPr>
          <w:sz w:val="26"/>
          <w:szCs w:val="26"/>
          <w:lang w:val="ru-RU"/>
        </w:rPr>
        <w:t>Мегино-Кангаласском</w:t>
      </w:r>
      <w:proofErr w:type="spellEnd"/>
      <w:r w:rsidR="00E03EAE">
        <w:rPr>
          <w:sz w:val="26"/>
          <w:szCs w:val="26"/>
          <w:lang w:val="ru-RU"/>
        </w:rPr>
        <w:t xml:space="preserve"> (565,9 кв.м.), </w:t>
      </w:r>
      <w:proofErr w:type="spellStart"/>
      <w:r w:rsidR="00E03EAE">
        <w:rPr>
          <w:sz w:val="26"/>
          <w:szCs w:val="26"/>
          <w:lang w:val="ru-RU"/>
        </w:rPr>
        <w:t>Таттинском</w:t>
      </w:r>
      <w:proofErr w:type="spellEnd"/>
      <w:r w:rsidR="00E03EAE">
        <w:rPr>
          <w:sz w:val="26"/>
          <w:szCs w:val="26"/>
          <w:lang w:val="ru-RU"/>
        </w:rPr>
        <w:t xml:space="preserve"> (509,1 кв.м.),</w:t>
      </w:r>
      <w:r w:rsidR="00EF7507">
        <w:rPr>
          <w:sz w:val="26"/>
          <w:szCs w:val="26"/>
          <w:lang w:val="ru-RU"/>
        </w:rPr>
        <w:t xml:space="preserve"> </w:t>
      </w:r>
      <w:proofErr w:type="spellStart"/>
      <w:r w:rsidR="00EF7507">
        <w:rPr>
          <w:sz w:val="26"/>
          <w:szCs w:val="26"/>
          <w:lang w:val="ru-RU"/>
        </w:rPr>
        <w:t>Среднеколымском</w:t>
      </w:r>
      <w:proofErr w:type="spellEnd"/>
      <w:r w:rsidR="00EF7507">
        <w:rPr>
          <w:sz w:val="26"/>
          <w:szCs w:val="26"/>
          <w:lang w:val="ru-RU"/>
        </w:rPr>
        <w:t xml:space="preserve"> (504,1 кв.м.) и </w:t>
      </w:r>
      <w:proofErr w:type="spellStart"/>
      <w:r w:rsidR="00EF7507">
        <w:rPr>
          <w:sz w:val="26"/>
          <w:szCs w:val="26"/>
          <w:lang w:val="ru-RU"/>
        </w:rPr>
        <w:t>Намском</w:t>
      </w:r>
      <w:proofErr w:type="spellEnd"/>
      <w:r w:rsidR="00EF7507">
        <w:rPr>
          <w:sz w:val="26"/>
          <w:szCs w:val="26"/>
          <w:lang w:val="ru-RU"/>
        </w:rPr>
        <w:t xml:space="preserve"> (500,0 кв.м.) районах.</w:t>
      </w:r>
      <w:proofErr w:type="gramEnd"/>
    </w:p>
    <w:p w:rsidR="009738E4" w:rsidRDefault="009738E4" w:rsidP="007D0EE4">
      <w:pPr>
        <w:pStyle w:val="a3"/>
        <w:ind w:firstLine="0"/>
        <w:contextualSpacing/>
        <w:jc w:val="center"/>
        <w:rPr>
          <w:b/>
          <w:sz w:val="28"/>
          <w:szCs w:val="28"/>
          <w:lang w:val="ru-RU"/>
        </w:rPr>
      </w:pPr>
    </w:p>
    <w:p w:rsidR="000E271D" w:rsidRPr="009A25E7" w:rsidRDefault="007D0EE4" w:rsidP="007D0EE4">
      <w:pPr>
        <w:pStyle w:val="a3"/>
        <w:ind w:firstLine="0"/>
        <w:contextualSpacing/>
        <w:jc w:val="center"/>
        <w:rPr>
          <w:b/>
          <w:sz w:val="28"/>
          <w:szCs w:val="28"/>
          <w:lang w:val="ru-RU"/>
        </w:rPr>
      </w:pPr>
      <w:r w:rsidRPr="009A25E7">
        <w:rPr>
          <w:b/>
          <w:sz w:val="28"/>
          <w:szCs w:val="28"/>
          <w:lang w:val="ru-RU"/>
        </w:rPr>
        <w:t>Ввод в действие жилых домов на 1000 человек населения</w:t>
      </w:r>
    </w:p>
    <w:p w:rsidR="007D0EE4" w:rsidRPr="009A25E7" w:rsidRDefault="007D0EE4" w:rsidP="007D0EE4">
      <w:pPr>
        <w:pStyle w:val="a3"/>
        <w:ind w:firstLine="0"/>
        <w:contextualSpacing/>
        <w:jc w:val="center"/>
        <w:rPr>
          <w:b/>
          <w:sz w:val="28"/>
          <w:szCs w:val="28"/>
          <w:lang w:val="ru-RU"/>
        </w:rPr>
      </w:pPr>
      <w:r w:rsidRPr="009A25E7">
        <w:rPr>
          <w:b/>
          <w:sz w:val="28"/>
          <w:szCs w:val="28"/>
          <w:lang w:val="ru-RU"/>
        </w:rPr>
        <w:t xml:space="preserve"> за 201</w:t>
      </w:r>
      <w:r w:rsidR="009738E4">
        <w:rPr>
          <w:b/>
          <w:sz w:val="28"/>
          <w:szCs w:val="28"/>
          <w:lang w:val="ru-RU"/>
        </w:rPr>
        <w:t>9</w:t>
      </w:r>
      <w:r w:rsidRPr="009A25E7">
        <w:rPr>
          <w:b/>
          <w:sz w:val="28"/>
          <w:szCs w:val="28"/>
          <w:lang w:val="ru-RU"/>
        </w:rPr>
        <w:t xml:space="preserve"> год</w:t>
      </w:r>
    </w:p>
    <w:p w:rsidR="007D0EE4" w:rsidRPr="000E271D" w:rsidRDefault="007D0EE4" w:rsidP="007D0EE4">
      <w:pPr>
        <w:pStyle w:val="a3"/>
        <w:tabs>
          <w:tab w:val="left" w:pos="284"/>
        </w:tabs>
        <w:ind w:firstLine="0"/>
        <w:contextualSpacing/>
        <w:jc w:val="center"/>
        <w:rPr>
          <w:sz w:val="20"/>
          <w:szCs w:val="24"/>
          <w:lang w:val="ru-RU"/>
        </w:rPr>
      </w:pPr>
      <w:r w:rsidRPr="000E271D">
        <w:rPr>
          <w:sz w:val="20"/>
          <w:szCs w:val="24"/>
          <w:lang w:val="ru-RU"/>
        </w:rPr>
        <w:t>(квадратных метров общей площади)</w:t>
      </w:r>
    </w:p>
    <w:p w:rsidR="000E271D" w:rsidRDefault="000E271D" w:rsidP="007D0EE4">
      <w:pPr>
        <w:pStyle w:val="a3"/>
        <w:tabs>
          <w:tab w:val="left" w:pos="284"/>
        </w:tabs>
        <w:ind w:firstLine="0"/>
        <w:contextualSpacing/>
        <w:jc w:val="center"/>
        <w:rPr>
          <w:sz w:val="20"/>
          <w:szCs w:val="24"/>
          <w:lang w:val="ru-RU"/>
        </w:rPr>
      </w:pPr>
    </w:p>
    <w:p w:rsidR="001C4C03" w:rsidRPr="000E271D" w:rsidRDefault="00E03EAE" w:rsidP="007D0EE4">
      <w:pPr>
        <w:pStyle w:val="a3"/>
        <w:tabs>
          <w:tab w:val="left" w:pos="284"/>
        </w:tabs>
        <w:ind w:firstLine="0"/>
        <w:contextualSpacing/>
        <w:jc w:val="center"/>
        <w:rPr>
          <w:sz w:val="20"/>
          <w:szCs w:val="24"/>
          <w:lang w:val="ru-RU"/>
        </w:rPr>
      </w:pPr>
      <w:r>
        <w:rPr>
          <w:noProof/>
          <w:color w:val="FF0000"/>
          <w:sz w:val="20"/>
          <w:szCs w:val="24"/>
          <w:lang w:val="ru-RU"/>
        </w:rPr>
        <w:pict>
          <v:rect id="_x0000_s1036" style="position:absolute;left:0;text-align:left;margin-left:327.35pt;margin-top:73.75pt;width:146.7pt;height:18pt;z-index:251664384" stroked="f">
            <v:textbox>
              <w:txbxContent>
                <w:p w:rsidR="005B56C5" w:rsidRPr="000B6FBF" w:rsidRDefault="005B56C5">
                  <w:pPr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0B6FBF">
                    <w:rPr>
                      <w:i/>
                      <w:sz w:val="18"/>
                      <w:szCs w:val="18"/>
                      <w:lang w:val="ru-RU"/>
                    </w:rPr>
                    <w:t xml:space="preserve">ГО «Город Якутск» - </w:t>
                  </w:r>
                  <w:r>
                    <w:rPr>
                      <w:i/>
                      <w:sz w:val="18"/>
                      <w:szCs w:val="18"/>
                      <w:lang w:val="ru-RU"/>
                    </w:rPr>
                    <w:t>1037,0  кв.м.</w:t>
                  </w:r>
                </w:p>
              </w:txbxContent>
            </v:textbox>
          </v:rect>
        </w:pict>
      </w:r>
      <w:r w:rsidRPr="00F75139">
        <w:rPr>
          <w:noProof/>
          <w:sz w:val="28"/>
          <w:szCs w:val="28"/>
          <w:lang w:val="ru-RU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6" type="#_x0000_t48" style="position:absolute;left:0;text-align:left;margin-left:396.8pt;margin-top:23.95pt;width:1in;height:43.8pt;z-index:251660288" adj="-14505,21748,-9840,4438,,4438,-5775,-10060" strokecolor="#0070c0">
            <v:textbox style="mso-next-textbox:#_x0000_s1026">
              <w:txbxContent>
                <w:p w:rsidR="005B56C5" w:rsidRPr="000E271D" w:rsidRDefault="005B56C5" w:rsidP="000E271D">
                  <w:pPr>
                    <w:jc w:val="center"/>
                    <w:rPr>
                      <w:i/>
                      <w:color w:val="17365D"/>
                      <w:sz w:val="18"/>
                      <w:szCs w:val="18"/>
                      <w:lang w:val="ru-RU"/>
                    </w:rPr>
                  </w:pPr>
                  <w:r w:rsidRPr="004A36E3">
                    <w:rPr>
                      <w:i/>
                      <w:color w:val="17365D"/>
                      <w:sz w:val="18"/>
                      <w:szCs w:val="18"/>
                      <w:lang w:val="ru-RU"/>
                    </w:rPr>
                    <w:t>Среднее значение   по Р</w:t>
                  </w:r>
                  <w:proofErr w:type="gramStart"/>
                  <w:r w:rsidRPr="004A36E3">
                    <w:rPr>
                      <w:i/>
                      <w:color w:val="17365D"/>
                      <w:sz w:val="18"/>
                      <w:szCs w:val="18"/>
                      <w:lang w:val="ru-RU"/>
                    </w:rPr>
                    <w:t>С(</w:t>
                  </w:r>
                  <w:proofErr w:type="gramEnd"/>
                  <w:r w:rsidRPr="004A36E3">
                    <w:rPr>
                      <w:i/>
                      <w:color w:val="17365D"/>
                      <w:sz w:val="18"/>
                      <w:szCs w:val="18"/>
                      <w:lang w:val="ru-RU"/>
                    </w:rPr>
                    <w:t xml:space="preserve">Я) -   </w:t>
                  </w:r>
                  <w:r>
                    <w:rPr>
                      <w:i/>
                      <w:color w:val="17365D"/>
                      <w:sz w:val="18"/>
                      <w:szCs w:val="18"/>
                      <w:lang w:val="ru-RU"/>
                    </w:rPr>
                    <w:t>579,5</w:t>
                  </w:r>
                </w:p>
              </w:txbxContent>
            </v:textbox>
            <o:callout v:ext="edit" minusy="t"/>
          </v:shape>
        </w:pict>
      </w:r>
      <w:r>
        <w:rPr>
          <w:noProof/>
          <w:color w:val="FF0000"/>
          <w:sz w:val="20"/>
          <w:szCs w:val="24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0.55pt;margin-top:67pt;width:402.75pt;height:.75pt;z-index:251663360" o:connectortype="straight" strokeweight="1.5pt"/>
        </w:pict>
      </w:r>
      <w:r w:rsidR="001C4C03" w:rsidRPr="001C4C03">
        <w:rPr>
          <w:sz w:val="20"/>
          <w:szCs w:val="24"/>
          <w:lang w:val="ru-RU"/>
        </w:rPr>
        <w:drawing>
          <wp:inline distT="0" distB="0" distL="0" distR="0">
            <wp:extent cx="6115050" cy="3095625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4CF6" w:rsidRPr="00EF7507" w:rsidRDefault="00874CF6" w:rsidP="00EF7507">
      <w:pPr>
        <w:pStyle w:val="a3"/>
        <w:tabs>
          <w:tab w:val="left" w:pos="284"/>
        </w:tabs>
        <w:ind w:firstLine="0"/>
        <w:contextualSpacing/>
        <w:jc w:val="center"/>
        <w:rPr>
          <w:color w:val="FF0000"/>
          <w:sz w:val="20"/>
          <w:szCs w:val="24"/>
          <w:lang w:val="ru-RU"/>
        </w:rPr>
      </w:pPr>
    </w:p>
    <w:sectPr w:rsidR="00874CF6" w:rsidRPr="00EF7507" w:rsidSect="00EF7507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6C5" w:rsidRDefault="005B56C5" w:rsidP="00EF7507">
      <w:r>
        <w:separator/>
      </w:r>
    </w:p>
  </w:endnote>
  <w:endnote w:type="continuationSeparator" w:id="1">
    <w:p w:rsidR="005B56C5" w:rsidRDefault="005B56C5" w:rsidP="00EF7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6C5" w:rsidRDefault="005B56C5" w:rsidP="00EF7507">
      <w:r>
        <w:separator/>
      </w:r>
    </w:p>
  </w:footnote>
  <w:footnote w:type="continuationSeparator" w:id="1">
    <w:p w:rsidR="005B56C5" w:rsidRDefault="005B56C5" w:rsidP="00EF7507">
      <w:r>
        <w:continuationSeparator/>
      </w:r>
    </w:p>
  </w:footnote>
  <w:footnote w:id="2">
    <w:p w:rsidR="005B56C5" w:rsidRPr="00EF7507" w:rsidRDefault="005B56C5" w:rsidP="00273113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 w:rsidRPr="00EF7507">
        <w:rPr>
          <w:lang w:val="ru-RU"/>
        </w:rPr>
        <w:t xml:space="preserve"> Начиная с августа 2019 года, в объем жилищного строительства включаются жилые дома, построенные населением на земельных участках, предназначенных для ведения садоводства. Ранее такие дома не учитывались. Изменения связаны с тем, что в полном объеме начали действовать нормы Федерального закона от 29.07.2017 </w:t>
      </w:r>
      <w:r>
        <w:rPr>
          <w:lang w:val="ru-RU"/>
        </w:rPr>
        <w:br/>
      </w:r>
      <w:r w:rsidRPr="00EF7507">
        <w:rPr>
          <w:lang w:val="ru-RU"/>
        </w:rPr>
        <w:t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В целях обеспечения сопоставимости с предыдущими периодами темпы роста рассчитаны без учета жилых домов, построенных на земельных участках, предназначенных для ведения гражданами садоводства</w:t>
      </w:r>
      <w:r>
        <w:rPr>
          <w:lang w:val="ru-RU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EE4"/>
    <w:rsid w:val="00096AB1"/>
    <w:rsid w:val="000B6FBF"/>
    <w:rsid w:val="000E271D"/>
    <w:rsid w:val="00152902"/>
    <w:rsid w:val="00165A19"/>
    <w:rsid w:val="001C4C03"/>
    <w:rsid w:val="001D1D59"/>
    <w:rsid w:val="00215887"/>
    <w:rsid w:val="00273113"/>
    <w:rsid w:val="002E2DD7"/>
    <w:rsid w:val="002E36A6"/>
    <w:rsid w:val="00317155"/>
    <w:rsid w:val="00392E96"/>
    <w:rsid w:val="003C71C0"/>
    <w:rsid w:val="004103E1"/>
    <w:rsid w:val="00434C5D"/>
    <w:rsid w:val="004D2BD1"/>
    <w:rsid w:val="00591BDB"/>
    <w:rsid w:val="005A1A1B"/>
    <w:rsid w:val="005B56C5"/>
    <w:rsid w:val="007740F8"/>
    <w:rsid w:val="007C4037"/>
    <w:rsid w:val="007D0EE4"/>
    <w:rsid w:val="00874CF6"/>
    <w:rsid w:val="0093339B"/>
    <w:rsid w:val="009738E4"/>
    <w:rsid w:val="00974E3F"/>
    <w:rsid w:val="009972A7"/>
    <w:rsid w:val="009A0509"/>
    <w:rsid w:val="009A25E7"/>
    <w:rsid w:val="009B28C4"/>
    <w:rsid w:val="009C1B30"/>
    <w:rsid w:val="00A14C33"/>
    <w:rsid w:val="00A23276"/>
    <w:rsid w:val="00A348F6"/>
    <w:rsid w:val="00A36DEF"/>
    <w:rsid w:val="00B31720"/>
    <w:rsid w:val="00B9128D"/>
    <w:rsid w:val="00C73A7D"/>
    <w:rsid w:val="00D90D14"/>
    <w:rsid w:val="00DD5901"/>
    <w:rsid w:val="00E03EAE"/>
    <w:rsid w:val="00E80573"/>
    <w:rsid w:val="00E91F82"/>
    <w:rsid w:val="00EF7507"/>
    <w:rsid w:val="00F24DF0"/>
    <w:rsid w:val="00F46D1D"/>
    <w:rsid w:val="00F7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allout" idref="#_x0000_s1028"/>
        <o:r id="V:Rule2" type="callout" idref="#_x0000_s1026"/>
        <o:r id="V:Rule4" type="connector" idref="#_x0000_s103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КДЗаг2"/>
    <w:rsid w:val="007D0EE4"/>
    <w:pPr>
      <w:spacing w:after="0" w:line="240" w:lineRule="auto"/>
      <w:jc w:val="center"/>
    </w:pPr>
    <w:rPr>
      <w:rFonts w:ascii="Arial" w:eastAsia="Times New Roman" w:hAnsi="Arial" w:cs="Times New Roman"/>
      <w:b/>
      <w:noProof/>
      <w:szCs w:val="20"/>
      <w:lang w:eastAsia="ru-RU"/>
    </w:rPr>
  </w:style>
  <w:style w:type="paragraph" w:customStyle="1" w:styleId="a3">
    <w:name w:val="КД_Абз"/>
    <w:basedOn w:val="a"/>
    <w:link w:val="a4"/>
    <w:rsid w:val="007D0EE4"/>
    <w:pPr>
      <w:ind w:firstLine="720"/>
      <w:jc w:val="both"/>
    </w:pPr>
    <w:rPr>
      <w:sz w:val="22"/>
    </w:rPr>
  </w:style>
  <w:style w:type="character" w:customStyle="1" w:styleId="a4">
    <w:name w:val="КД_Абз Знак"/>
    <w:basedOn w:val="a0"/>
    <w:link w:val="a3"/>
    <w:locked/>
    <w:rsid w:val="007D0EE4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5">
    <w:name w:val="Plain Text"/>
    <w:basedOn w:val="a"/>
    <w:link w:val="a6"/>
    <w:rsid w:val="007D0EE4"/>
    <w:rPr>
      <w:sz w:val="28"/>
      <w:szCs w:val="28"/>
      <w:lang w:val="ru-RU"/>
    </w:rPr>
  </w:style>
  <w:style w:type="character" w:customStyle="1" w:styleId="a6">
    <w:name w:val="Текст Знак"/>
    <w:basedOn w:val="a0"/>
    <w:link w:val="a5"/>
    <w:rsid w:val="007D0E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aliases w:val="Основной текст 1,Нумерованный список !!,Основной текст с отступом2"/>
    <w:basedOn w:val="a"/>
    <w:link w:val="a8"/>
    <w:rsid w:val="007D0EE4"/>
    <w:pPr>
      <w:spacing w:line="288" w:lineRule="auto"/>
      <w:ind w:firstLine="709"/>
      <w:jc w:val="both"/>
    </w:pPr>
    <w:rPr>
      <w:sz w:val="22"/>
      <w:lang w:val="ru-RU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Основной текст с отступом2 Знак"/>
    <w:basedOn w:val="a0"/>
    <w:link w:val="a7"/>
    <w:rsid w:val="007D0EE4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17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720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ab">
    <w:name w:val="КДШт"/>
    <w:rsid w:val="00B9128D"/>
    <w:pPr>
      <w:spacing w:after="0" w:line="240" w:lineRule="auto"/>
      <w:jc w:val="center"/>
    </w:pPr>
    <w:rPr>
      <w:rFonts w:ascii="Times New Roman" w:eastAsia="Times New Roman" w:hAnsi="Times New Roman" w:cs="Times New Roman"/>
      <w:i/>
      <w:noProof/>
      <w:sz w:val="20"/>
      <w:szCs w:val="20"/>
      <w:lang w:eastAsia="ru-RU"/>
    </w:rPr>
  </w:style>
  <w:style w:type="paragraph" w:customStyle="1" w:styleId="Default">
    <w:name w:val="Default"/>
    <w:rsid w:val="009738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F7507"/>
  </w:style>
  <w:style w:type="character" w:customStyle="1" w:styleId="ad">
    <w:name w:val="Текст сноски Знак"/>
    <w:basedOn w:val="a0"/>
    <w:link w:val="ac"/>
    <w:uiPriority w:val="99"/>
    <w:semiHidden/>
    <w:rsid w:val="00EF750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footnote reference"/>
    <w:basedOn w:val="a0"/>
    <w:uiPriority w:val="99"/>
    <w:semiHidden/>
    <w:unhideWhenUsed/>
    <w:rsid w:val="00EF75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stat-ibm-02\disky\public\2%20&#1086;&#1090;&#1076;&#1077;&#1083;\&#1057;-1\2019\&#1075;&#1086;&#1076;\&#1090;&#1072;&#1073;&#1083;&#1080;&#1094;&#1099;%203\t3_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at-ibm-02\disky\public\2%20&#1086;&#1090;&#1076;&#1077;&#1083;\&#1057;-1\2019\&#1075;&#1086;&#1076;\&#1090;&#1072;&#1073;&#1083;&#1080;&#1094;&#1099;%203\t3_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8.0856828380323431E-2"/>
          <c:y val="3.4509712834568253E-2"/>
          <c:w val="0.89661372973539599"/>
          <c:h val="0.52637010961865061"/>
        </c:manualLayout>
      </c:layout>
      <c:barChart>
        <c:barDir val="col"/>
        <c:grouping val="clustered"/>
        <c:ser>
          <c:idx val="0"/>
          <c:order val="0"/>
          <c:tx>
            <c:strRef>
              <c:f>Лист1!$D$2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Лист1!$C$3:$C$36</c:f>
              <c:strCache>
                <c:ptCount val="34"/>
                <c:pt idx="0">
                  <c:v>Чурапчинский </c:v>
                </c:pt>
                <c:pt idx="1">
                  <c:v>Мегино-Кангаласский</c:v>
                </c:pt>
                <c:pt idx="2">
                  <c:v>Ленский</c:v>
                </c:pt>
                <c:pt idx="3">
                  <c:v>Верхневилюйский </c:v>
                </c:pt>
                <c:pt idx="4">
                  <c:v>Намский </c:v>
                </c:pt>
                <c:pt idx="5">
                  <c:v>Алданский </c:v>
                </c:pt>
                <c:pt idx="6">
                  <c:v>Мирнинский </c:v>
                </c:pt>
                <c:pt idx="7">
                  <c:v>Нюрбинский</c:v>
                </c:pt>
                <c:pt idx="8">
                  <c:v>Хангаласский </c:v>
                </c:pt>
                <c:pt idx="9">
                  <c:v>Сунтарский</c:v>
                </c:pt>
                <c:pt idx="10">
                  <c:v>Олекминский </c:v>
                </c:pt>
                <c:pt idx="11">
                  <c:v>Амгинский </c:v>
                </c:pt>
                <c:pt idx="12">
                  <c:v>Вилюйский</c:v>
                </c:pt>
                <c:pt idx="13">
                  <c:v>Таттинский</c:v>
                </c:pt>
                <c:pt idx="14">
                  <c:v>Усть-Алданский</c:v>
                </c:pt>
                <c:pt idx="15">
                  <c:v>Горный</c:v>
                </c:pt>
                <c:pt idx="16">
                  <c:v>Кобяйский </c:v>
                </c:pt>
                <c:pt idx="17">
                  <c:v>ГО "Жатай"</c:v>
                </c:pt>
                <c:pt idx="18">
                  <c:v>Среднеколымский </c:v>
                </c:pt>
                <c:pt idx="19">
                  <c:v>Томпонский </c:v>
                </c:pt>
                <c:pt idx="20">
                  <c:v>Оленекский</c:v>
                </c:pt>
                <c:pt idx="21">
                  <c:v>Анабарский</c:v>
                </c:pt>
                <c:pt idx="22">
                  <c:v>Верхоянский</c:v>
                </c:pt>
                <c:pt idx="23">
                  <c:v>Жиганский </c:v>
                </c:pt>
                <c:pt idx="24">
                  <c:v>Усть-Янский</c:v>
                </c:pt>
                <c:pt idx="25">
                  <c:v>Эвено-Бытантайский </c:v>
                </c:pt>
                <c:pt idx="26">
                  <c:v>Момский </c:v>
                </c:pt>
                <c:pt idx="27">
                  <c:v>Оймяконский </c:v>
                </c:pt>
                <c:pt idx="28">
                  <c:v>Булунский </c:v>
                </c:pt>
                <c:pt idx="29">
                  <c:v>Усть-Майский </c:v>
                </c:pt>
                <c:pt idx="30">
                  <c:v>Нерюнгринский </c:v>
                </c:pt>
                <c:pt idx="31">
                  <c:v>Абыйский </c:v>
                </c:pt>
                <c:pt idx="32">
                  <c:v>Верхнеколымский</c:v>
                </c:pt>
                <c:pt idx="33">
                  <c:v>Нижнеколымский </c:v>
                </c:pt>
              </c:strCache>
            </c:strRef>
          </c:cat>
          <c:val>
            <c:numRef>
              <c:f>Лист1!$D$3:$D$36</c:f>
              <c:numCache>
                <c:formatCode>0.0</c:formatCode>
                <c:ptCount val="34"/>
                <c:pt idx="0">
                  <c:v>17.510000000000002</c:v>
                </c:pt>
                <c:pt idx="1">
                  <c:v>17.452000000000002</c:v>
                </c:pt>
                <c:pt idx="2">
                  <c:v>15.148</c:v>
                </c:pt>
                <c:pt idx="3">
                  <c:v>12.952999999999999</c:v>
                </c:pt>
                <c:pt idx="4">
                  <c:v>12.397</c:v>
                </c:pt>
                <c:pt idx="5">
                  <c:v>12.228999999999999</c:v>
                </c:pt>
                <c:pt idx="6">
                  <c:v>11.395</c:v>
                </c:pt>
                <c:pt idx="7">
                  <c:v>11.173999999999999</c:v>
                </c:pt>
                <c:pt idx="8">
                  <c:v>11.129</c:v>
                </c:pt>
                <c:pt idx="9">
                  <c:v>10.718999999999999</c:v>
                </c:pt>
                <c:pt idx="10">
                  <c:v>10.243</c:v>
                </c:pt>
                <c:pt idx="11">
                  <c:v>9.5630000000000006</c:v>
                </c:pt>
                <c:pt idx="12">
                  <c:v>8.9160000000000004</c:v>
                </c:pt>
                <c:pt idx="13">
                  <c:v>8.2409999999999997</c:v>
                </c:pt>
                <c:pt idx="14">
                  <c:v>8.1240000000000006</c:v>
                </c:pt>
                <c:pt idx="15">
                  <c:v>5.4770000000000003</c:v>
                </c:pt>
                <c:pt idx="16">
                  <c:v>4.8170000000000002</c:v>
                </c:pt>
                <c:pt idx="17">
                  <c:v>4.08</c:v>
                </c:pt>
                <c:pt idx="18">
                  <c:v>3.7189999999999999</c:v>
                </c:pt>
                <c:pt idx="19">
                  <c:v>2.7440000000000002</c:v>
                </c:pt>
                <c:pt idx="20">
                  <c:v>1.7749999999999999</c:v>
                </c:pt>
                <c:pt idx="21">
                  <c:v>1.7629999999999999</c:v>
                </c:pt>
                <c:pt idx="22">
                  <c:v>1.7030000000000001</c:v>
                </c:pt>
                <c:pt idx="23">
                  <c:v>1.6240000000000001</c:v>
                </c:pt>
                <c:pt idx="24">
                  <c:v>1.534</c:v>
                </c:pt>
                <c:pt idx="25">
                  <c:v>1.077</c:v>
                </c:pt>
                <c:pt idx="26">
                  <c:v>0.89700000000000002</c:v>
                </c:pt>
                <c:pt idx="27">
                  <c:v>0.88800000000000001</c:v>
                </c:pt>
                <c:pt idx="28">
                  <c:v>0.63400000000000001</c:v>
                </c:pt>
                <c:pt idx="29">
                  <c:v>0.54800000000000004</c:v>
                </c:pt>
                <c:pt idx="30">
                  <c:v>0.47499999999999998</c:v>
                </c:pt>
                <c:pt idx="31">
                  <c:v>0.435</c:v>
                </c:pt>
                <c:pt idx="32">
                  <c:v>0.27600000000000002</c:v>
                </c:pt>
                <c:pt idx="33">
                  <c:v>0.128</c:v>
                </c:pt>
              </c:numCache>
            </c:numRef>
          </c:val>
        </c:ser>
        <c:ser>
          <c:idx val="1"/>
          <c:order val="1"/>
          <c:tx>
            <c:strRef>
              <c:f>Лист1!$E$2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</c:spPr>
          <c:cat>
            <c:strRef>
              <c:f>Лист1!$C$3:$C$36</c:f>
              <c:strCache>
                <c:ptCount val="34"/>
                <c:pt idx="0">
                  <c:v>Чурапчинский </c:v>
                </c:pt>
                <c:pt idx="1">
                  <c:v>Мегино-Кангаласский</c:v>
                </c:pt>
                <c:pt idx="2">
                  <c:v>Ленский</c:v>
                </c:pt>
                <c:pt idx="3">
                  <c:v>Верхневилюйский </c:v>
                </c:pt>
                <c:pt idx="4">
                  <c:v>Намский </c:v>
                </c:pt>
                <c:pt idx="5">
                  <c:v>Алданский </c:v>
                </c:pt>
                <c:pt idx="6">
                  <c:v>Мирнинский </c:v>
                </c:pt>
                <c:pt idx="7">
                  <c:v>Нюрбинский</c:v>
                </c:pt>
                <c:pt idx="8">
                  <c:v>Хангаласский </c:v>
                </c:pt>
                <c:pt idx="9">
                  <c:v>Сунтарский</c:v>
                </c:pt>
                <c:pt idx="10">
                  <c:v>Олекминский </c:v>
                </c:pt>
                <c:pt idx="11">
                  <c:v>Амгинский </c:v>
                </c:pt>
                <c:pt idx="12">
                  <c:v>Вилюйский</c:v>
                </c:pt>
                <c:pt idx="13">
                  <c:v>Таттинский</c:v>
                </c:pt>
                <c:pt idx="14">
                  <c:v>Усть-Алданский</c:v>
                </c:pt>
                <c:pt idx="15">
                  <c:v>Горный</c:v>
                </c:pt>
                <c:pt idx="16">
                  <c:v>Кобяйский </c:v>
                </c:pt>
                <c:pt idx="17">
                  <c:v>ГО "Жатай"</c:v>
                </c:pt>
                <c:pt idx="18">
                  <c:v>Среднеколымский </c:v>
                </c:pt>
                <c:pt idx="19">
                  <c:v>Томпонский </c:v>
                </c:pt>
                <c:pt idx="20">
                  <c:v>Оленекский</c:v>
                </c:pt>
                <c:pt idx="21">
                  <c:v>Анабарский</c:v>
                </c:pt>
                <c:pt idx="22">
                  <c:v>Верхоянский</c:v>
                </c:pt>
                <c:pt idx="23">
                  <c:v>Жиганский </c:v>
                </c:pt>
                <c:pt idx="24">
                  <c:v>Усть-Янский</c:v>
                </c:pt>
                <c:pt idx="25">
                  <c:v>Эвено-Бытантайский </c:v>
                </c:pt>
                <c:pt idx="26">
                  <c:v>Момский </c:v>
                </c:pt>
                <c:pt idx="27">
                  <c:v>Оймяконский </c:v>
                </c:pt>
                <c:pt idx="28">
                  <c:v>Булунский </c:v>
                </c:pt>
                <c:pt idx="29">
                  <c:v>Усть-Майский </c:v>
                </c:pt>
                <c:pt idx="30">
                  <c:v>Нерюнгринский </c:v>
                </c:pt>
                <c:pt idx="31">
                  <c:v>Абыйский </c:v>
                </c:pt>
                <c:pt idx="32">
                  <c:v>Верхнеколымский</c:v>
                </c:pt>
                <c:pt idx="33">
                  <c:v>Нижнеколымский </c:v>
                </c:pt>
              </c:strCache>
            </c:strRef>
          </c:cat>
          <c:val>
            <c:numRef>
              <c:f>Лист1!$E$3:$E$36</c:f>
              <c:numCache>
                <c:formatCode>General</c:formatCode>
                <c:ptCount val="34"/>
                <c:pt idx="0">
                  <c:v>8.6</c:v>
                </c:pt>
                <c:pt idx="1">
                  <c:v>17.100000000000001</c:v>
                </c:pt>
                <c:pt idx="2">
                  <c:v>9.6</c:v>
                </c:pt>
                <c:pt idx="3">
                  <c:v>5.5</c:v>
                </c:pt>
                <c:pt idx="4">
                  <c:v>10.6</c:v>
                </c:pt>
                <c:pt idx="5">
                  <c:v>8.1999999999999993</c:v>
                </c:pt>
                <c:pt idx="6">
                  <c:v>9.1</c:v>
                </c:pt>
                <c:pt idx="7">
                  <c:v>7.7</c:v>
                </c:pt>
                <c:pt idx="8">
                  <c:v>10.8</c:v>
                </c:pt>
                <c:pt idx="9">
                  <c:v>6.7</c:v>
                </c:pt>
                <c:pt idx="10">
                  <c:v>3.8</c:v>
                </c:pt>
                <c:pt idx="11">
                  <c:v>8.6999999999999993</c:v>
                </c:pt>
                <c:pt idx="12">
                  <c:v>11.4</c:v>
                </c:pt>
                <c:pt idx="13">
                  <c:v>8.3000000000000007</c:v>
                </c:pt>
                <c:pt idx="14">
                  <c:v>6.9</c:v>
                </c:pt>
                <c:pt idx="15">
                  <c:v>8.6999999999999993</c:v>
                </c:pt>
                <c:pt idx="16">
                  <c:v>1.5</c:v>
                </c:pt>
                <c:pt idx="17">
                  <c:v>8.8000000000000007</c:v>
                </c:pt>
                <c:pt idx="18">
                  <c:v>1.1000000000000001</c:v>
                </c:pt>
                <c:pt idx="19">
                  <c:v>3.7</c:v>
                </c:pt>
                <c:pt idx="20">
                  <c:v>2.2000000000000002</c:v>
                </c:pt>
                <c:pt idx="21">
                  <c:v>1.4</c:v>
                </c:pt>
                <c:pt idx="22">
                  <c:v>1</c:v>
                </c:pt>
                <c:pt idx="23">
                  <c:v>1.1000000000000001</c:v>
                </c:pt>
                <c:pt idx="24">
                  <c:v>0.2</c:v>
                </c:pt>
                <c:pt idx="25">
                  <c:v>0.5</c:v>
                </c:pt>
                <c:pt idx="26">
                  <c:v>0.3</c:v>
                </c:pt>
                <c:pt idx="27">
                  <c:v>0.3</c:v>
                </c:pt>
                <c:pt idx="28">
                  <c:v>2.4</c:v>
                </c:pt>
                <c:pt idx="29">
                  <c:v>3.5</c:v>
                </c:pt>
                <c:pt idx="30">
                  <c:v>15.9</c:v>
                </c:pt>
              </c:numCache>
            </c:numRef>
          </c:val>
        </c:ser>
        <c:axId val="157070848"/>
        <c:axId val="157072768"/>
      </c:barChart>
      <c:catAx>
        <c:axId val="1570708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7072768"/>
        <c:crosses val="autoZero"/>
        <c:auto val="1"/>
        <c:lblAlgn val="ctr"/>
        <c:lblOffset val="100"/>
      </c:catAx>
      <c:valAx>
        <c:axId val="157072768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7070848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.21302788607734727"/>
          <c:y val="0.93351852757535747"/>
          <c:w val="0.50778097721603566"/>
          <c:h val="4.9918325426712963E-2"/>
        </c:manualLayout>
      </c:layout>
    </c:legend>
    <c:plotVisOnly val="1"/>
    <c:dispBlanksAs val="gap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cat>
            <c:strRef>
              <c:f>Лист2!$A$3:$A$36</c:f>
              <c:strCache>
                <c:ptCount val="34"/>
                <c:pt idx="0">
                  <c:v>Чурапчинский</c:v>
                </c:pt>
                <c:pt idx="1">
                  <c:v>Верхневилюйский</c:v>
                </c:pt>
                <c:pt idx="2">
                  <c:v>Амгинский</c:v>
                </c:pt>
                <c:pt idx="3">
                  <c:v>Мегино-Кангаласский</c:v>
                </c:pt>
                <c:pt idx="4">
                  <c:v>Таттинский</c:v>
                </c:pt>
                <c:pt idx="5">
                  <c:v>Среднеколымский</c:v>
                </c:pt>
                <c:pt idx="6">
                  <c:v>Hамский</c:v>
                </c:pt>
                <c:pt idx="7">
                  <c:v>Анабарский</c:v>
                </c:pt>
                <c:pt idx="8">
                  <c:v>Hюрбинский</c:v>
                </c:pt>
                <c:pt idx="9">
                  <c:v>Сунтарский</c:v>
                </c:pt>
                <c:pt idx="10">
                  <c:v>Горный</c:v>
                </c:pt>
                <c:pt idx="11">
                  <c:v>Оленекский</c:v>
                </c:pt>
                <c:pt idx="12">
                  <c:v>Олекминский</c:v>
                </c:pt>
                <c:pt idx="13">
                  <c:v>Ленский</c:v>
                </c:pt>
                <c:pt idx="14">
                  <c:v>ГО "Жатай"</c:v>
                </c:pt>
                <c:pt idx="15">
                  <c:v>Усть-Алданский</c:v>
                </c:pt>
                <c:pt idx="16">
                  <c:v>Кобяйский</c:v>
                </c:pt>
                <c:pt idx="17">
                  <c:v>Жиганский</c:v>
                </c:pt>
                <c:pt idx="18">
                  <c:v>Эвено-Бытантайский</c:v>
                </c:pt>
                <c:pt idx="19">
                  <c:v>Вилюйский</c:v>
                </c:pt>
                <c:pt idx="20">
                  <c:v>Хангаласский</c:v>
                </c:pt>
                <c:pt idx="21">
                  <c:v>Алданский</c:v>
                </c:pt>
                <c:pt idx="22">
                  <c:v>Момский</c:v>
                </c:pt>
                <c:pt idx="23">
                  <c:v>Томпонский</c:v>
                </c:pt>
                <c:pt idx="24">
                  <c:v>Усть-Янский</c:v>
                </c:pt>
                <c:pt idx="25">
                  <c:v>Мирнинский</c:v>
                </c:pt>
                <c:pt idx="26">
                  <c:v>Верхоянский</c:v>
                </c:pt>
                <c:pt idx="27">
                  <c:v>Оймяконский</c:v>
                </c:pt>
                <c:pt idx="28">
                  <c:v>Абыйский</c:v>
                </c:pt>
                <c:pt idx="29">
                  <c:v>Булунский</c:v>
                </c:pt>
                <c:pt idx="30">
                  <c:v>Усть-Майский</c:v>
                </c:pt>
                <c:pt idx="31">
                  <c:v>Верхнеколымский</c:v>
                </c:pt>
                <c:pt idx="32">
                  <c:v>Hижнеколымский</c:v>
                </c:pt>
                <c:pt idx="33">
                  <c:v>Hерюнгринский </c:v>
                </c:pt>
              </c:strCache>
            </c:strRef>
          </c:cat>
          <c:val>
            <c:numRef>
              <c:f>Лист2!$B$3:$B$36</c:f>
              <c:numCache>
                <c:formatCode>0.0</c:formatCode>
                <c:ptCount val="34"/>
                <c:pt idx="0">
                  <c:v>834.68395461912485</c:v>
                </c:pt>
                <c:pt idx="1">
                  <c:v>617.2210044791766</c:v>
                </c:pt>
                <c:pt idx="2">
                  <c:v>570.24448419797261</c:v>
                </c:pt>
                <c:pt idx="3">
                  <c:v>565.88845654993509</c:v>
                </c:pt>
                <c:pt idx="4">
                  <c:v>509.14370443593225</c:v>
                </c:pt>
                <c:pt idx="5">
                  <c:v>504.06614258606663</c:v>
                </c:pt>
                <c:pt idx="6">
                  <c:v>500</c:v>
                </c:pt>
                <c:pt idx="7">
                  <c:v>486.34482758620692</c:v>
                </c:pt>
                <c:pt idx="8">
                  <c:v>472.17409676737799</c:v>
                </c:pt>
                <c:pt idx="9">
                  <c:v>457.37327188940094</c:v>
                </c:pt>
                <c:pt idx="10">
                  <c:v>455.16496301836617</c:v>
                </c:pt>
                <c:pt idx="11">
                  <c:v>422.92113414343578</c:v>
                </c:pt>
                <c:pt idx="12">
                  <c:v>416.46676153689776</c:v>
                </c:pt>
                <c:pt idx="13">
                  <c:v>415.82255895028686</c:v>
                </c:pt>
                <c:pt idx="14">
                  <c:v>398.28192112456071</c:v>
                </c:pt>
                <c:pt idx="15">
                  <c:v>396.15740966499249</c:v>
                </c:pt>
                <c:pt idx="16">
                  <c:v>394.80370461437587</c:v>
                </c:pt>
                <c:pt idx="17">
                  <c:v>391.79734620024124</c:v>
                </c:pt>
                <c:pt idx="18">
                  <c:v>379.76022566995772</c:v>
                </c:pt>
                <c:pt idx="19">
                  <c:v>356.92554043234588</c:v>
                </c:pt>
                <c:pt idx="20">
                  <c:v>339.20570575147065</c:v>
                </c:pt>
                <c:pt idx="21">
                  <c:v>315.22103363835544</c:v>
                </c:pt>
                <c:pt idx="22">
                  <c:v>225.71716155007547</c:v>
                </c:pt>
                <c:pt idx="23">
                  <c:v>219.15182493411069</c:v>
                </c:pt>
                <c:pt idx="24">
                  <c:v>218.58079224850385</c:v>
                </c:pt>
                <c:pt idx="25">
                  <c:v>157.53093246699385</c:v>
                </c:pt>
                <c:pt idx="26">
                  <c:v>153.47873107426099</c:v>
                </c:pt>
                <c:pt idx="27">
                  <c:v>110.16002977298102</c:v>
                </c:pt>
                <c:pt idx="28">
                  <c:v>109.76532929598788</c:v>
                </c:pt>
                <c:pt idx="29">
                  <c:v>75.234365729203745</c:v>
                </c:pt>
                <c:pt idx="30">
                  <c:v>73.864402210540504</c:v>
                </c:pt>
                <c:pt idx="31">
                  <c:v>68.554396423248889</c:v>
                </c:pt>
                <c:pt idx="32">
                  <c:v>29.941520467836259</c:v>
                </c:pt>
                <c:pt idx="33">
                  <c:v>6.4483722950775162</c:v>
                </c:pt>
              </c:numCache>
            </c:numRef>
          </c:val>
        </c:ser>
        <c:axId val="280828544"/>
        <c:axId val="280834432"/>
      </c:barChart>
      <c:catAx>
        <c:axId val="28082854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80834432"/>
        <c:crosses val="autoZero"/>
        <c:auto val="1"/>
        <c:lblAlgn val="ctr"/>
        <c:lblOffset val="100"/>
      </c:catAx>
      <c:valAx>
        <c:axId val="280834432"/>
        <c:scaling>
          <c:orientation val="minMax"/>
          <c:max val="1000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80828544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0.48541</cdr:x>
      <cdr:y>0</cdr:y>
    </cdr:from>
    <cdr:to>
      <cdr:x>0.94624</cdr:x>
      <cdr:y>0.13647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009900" y="0"/>
          <a:ext cx="2857499" cy="5524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ГО  "Город Якутск" </a:t>
          </a:r>
        </a:p>
        <a:p xmlns:a="http://schemas.openxmlformats.org/drawingml/2006/main"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2019г. - 350,1 тыс. кв. метров</a:t>
          </a:r>
        </a:p>
        <a:p xmlns:a="http://schemas.openxmlformats.org/drawingml/2006/main"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2018 г.-344,3 тыс. кв. метров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6E38-80F7-49FD-9D7E-9D473046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Саха(Якутия)стат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P14_BuryachenkoOA</dc:creator>
  <cp:keywords/>
  <dc:description/>
  <cp:lastModifiedBy>P14_IgnatievaES</cp:lastModifiedBy>
  <cp:revision>16</cp:revision>
  <cp:lastPrinted>2020-04-24T07:47:00Z</cp:lastPrinted>
  <dcterms:created xsi:type="dcterms:W3CDTF">2018-11-29T10:00:00Z</dcterms:created>
  <dcterms:modified xsi:type="dcterms:W3CDTF">2020-04-24T09:22:00Z</dcterms:modified>
</cp:coreProperties>
</file>